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ind w:hanging="22"/>
        <w:jc w:val="center"/>
        <w:rPr>
          <w:b w:val="1"/>
          <w:color w:val="003399"/>
          <w:sz w:val="24"/>
          <w:szCs w:val="24"/>
        </w:rPr>
      </w:pPr>
      <w:r w:rsidDel="00000000" w:rsidR="00000000" w:rsidRPr="00000000">
        <w:rPr>
          <w:b w:val="1"/>
          <w:color w:val="003399"/>
          <w:sz w:val="24"/>
          <w:szCs w:val="24"/>
          <w:rtl w:val="0"/>
        </w:rPr>
        <w:t xml:space="preserve">Goonhavern Primary School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3771900" cy="523875"/>
            <wp:effectExtent b="0" l="0" r="0" t="0"/>
            <wp:docPr descr="logo 2" id="1" name="image1.jpg"/>
            <a:graphic>
              <a:graphicData uri="http://schemas.openxmlformats.org/drawingml/2006/picture">
                <pic:pic>
                  <pic:nvPicPr>
                    <pic:cNvPr descr="logo 2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b w:val="1"/>
          <w:color w:val="003399"/>
          <w:sz w:val="24"/>
          <w:szCs w:val="24"/>
          <w:rtl w:val="0"/>
        </w:rPr>
        <w:t xml:space="preserve">Nurture the seed and together we will grow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Recovery Premium  2022 – 2023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simple one-page spending plan outlines how the recovery premium will be used to support pupils in Goonhavern Primary School.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.8"/>
        <w:gridCol w:w="2790.8"/>
        <w:gridCol w:w="2790.8"/>
        <w:gridCol w:w="2790.8"/>
        <w:gridCol w:w="2790.8"/>
        <w:tblGridChange w:id="0">
          <w:tblGrid>
            <w:gridCol w:w="2790.8"/>
            <w:gridCol w:w="2790.8"/>
            <w:gridCol w:w="2790.8"/>
            <w:gridCol w:w="2790.8"/>
            <w:gridCol w:w="2790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Intended Outcome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Rationale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Staff Lead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Impact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Stagger the time in which reading is taught throughout the school and employ two additional teachers to teach Read Write Inc to children in Reception, Year 1, Year 2 and Year 3, allowing all pupils in these year groups to benefit from working in small focused groups, matched to their ability.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Pupils in these year groups will make accelerated reading in progress which will reduce the impact of school closures.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Research from around the world shows the correlation between reading and future successes in school and beyond.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Mark Lloyd, Jane Bickerton and Zoie Moody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shows that children have made accelerated progress in reading - see phonics progress grids for details and up-to-date information.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Employ two intervention teachers to support the weakest 20% of readers in Reception, Year 1, Year 2 and Year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Intensive support is provided to allow children to reach their potential.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Research from around the world shows the correlation between reading and future successes in school and beyond.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Mark Lloyd, Jane Bickerton and Zoie Moody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shows that children have made accelerated progress in reading - see phonics progress grids for details and up-to-date information. </w:t>
            </w:r>
          </w:p>
        </w:tc>
      </w:tr>
    </w:tbl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